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03EF" w14:textId="77777777" w:rsidR="00513965" w:rsidRDefault="00513965">
      <w:pPr>
        <w:pStyle w:val="Heading1"/>
        <w:pBdr>
          <w:bottom w:val="single" w:sz="4" w:space="1" w:color="000000"/>
        </w:pBdr>
        <w:jc w:val="left"/>
        <w:rPr>
          <w:i/>
          <w:sz w:val="32"/>
          <w:szCs w:val="32"/>
        </w:rPr>
      </w:pPr>
    </w:p>
    <w:p w14:paraId="0F4BBF45" w14:textId="77777777" w:rsidR="00513965" w:rsidRDefault="00B64641">
      <w:pPr>
        <w:pStyle w:val="Heading1"/>
        <w:pBdr>
          <w:bottom w:val="single" w:sz="4" w:space="1" w:color="000000"/>
        </w:pBdr>
        <w:jc w:val="left"/>
        <w:rPr>
          <w:rFonts w:ascii="Calibri" w:eastAsia="Calibri" w:hAnsi="Calibri" w:cs="Calibri"/>
          <w:b w:val="0"/>
          <w:sz w:val="22"/>
          <w:szCs w:val="22"/>
        </w:rPr>
      </w:pPr>
      <w:r>
        <w:rPr>
          <w:rFonts w:ascii="Calibri" w:eastAsia="Calibri" w:hAnsi="Calibri" w:cs="Calibri"/>
          <w:i/>
          <w:sz w:val="32"/>
          <w:szCs w:val="32"/>
        </w:rPr>
        <w:t>Fullerton School District</w:t>
      </w:r>
      <w:r>
        <w:rPr>
          <w:rFonts w:ascii="Calibri" w:eastAsia="Calibri" w:hAnsi="Calibri" w:cs="Calibri"/>
          <w:b w:val="0"/>
          <w:sz w:val="22"/>
          <w:szCs w:val="22"/>
        </w:rPr>
        <w:t xml:space="preserve"> </w:t>
      </w:r>
      <w:r>
        <w:rPr>
          <w:rFonts w:ascii="Calibri" w:eastAsia="Calibri" w:hAnsi="Calibri" w:cs="Calibri"/>
          <w:b w:val="0"/>
          <w:sz w:val="18"/>
          <w:szCs w:val="18"/>
        </w:rPr>
        <w:t>1401 W. Valencia Drive, Fullerton, CA, 92833</w:t>
      </w:r>
    </w:p>
    <w:p w14:paraId="67F56C91" w14:textId="77777777" w:rsidR="00513965" w:rsidRDefault="00B64641">
      <w:pPr>
        <w:rPr>
          <w:i/>
          <w:sz w:val="18"/>
          <w:szCs w:val="18"/>
        </w:rPr>
      </w:pPr>
      <w:r>
        <w:rPr>
          <w:i/>
          <w:sz w:val="28"/>
          <w:szCs w:val="28"/>
        </w:rPr>
        <w:t xml:space="preserve">School Health Services   </w:t>
      </w:r>
      <w:r>
        <w:rPr>
          <w:i/>
          <w:sz w:val="18"/>
          <w:szCs w:val="18"/>
        </w:rPr>
        <w:t>Phone 714/447-7502 Fax 714/447-7793</w:t>
      </w:r>
    </w:p>
    <w:p w14:paraId="4D52E0D9" w14:textId="77777777" w:rsidR="00513965" w:rsidRDefault="00B64641">
      <w:pPr>
        <w:rPr>
          <w:sz w:val="20"/>
          <w:szCs w:val="20"/>
        </w:rPr>
      </w:pPr>
      <w:r>
        <w:rPr>
          <w:sz w:val="20"/>
          <w:szCs w:val="20"/>
        </w:rPr>
        <w:t xml:space="preserve">                     </w:t>
      </w:r>
      <w:r>
        <w:rPr>
          <w:sz w:val="20"/>
          <w:szCs w:val="20"/>
        </w:rPr>
        <w:tab/>
      </w:r>
      <w:r>
        <w:rPr>
          <w:sz w:val="20"/>
          <w:szCs w:val="20"/>
        </w:rPr>
        <w:tab/>
      </w:r>
      <w:r>
        <w:rPr>
          <w:noProof/>
        </w:rPr>
        <w:drawing>
          <wp:inline distT="0" distB="0" distL="0" distR="0" wp14:anchorId="4D5C3E69" wp14:editId="66D316D0">
            <wp:extent cx="3014980" cy="91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14980" cy="914400"/>
                    </a:xfrm>
                    <a:prstGeom prst="rect">
                      <a:avLst/>
                    </a:prstGeom>
                    <a:ln/>
                  </pic:spPr>
                </pic:pic>
              </a:graphicData>
            </a:graphic>
          </wp:inline>
        </w:drawing>
      </w:r>
    </w:p>
    <w:p w14:paraId="7F88CD6E" w14:textId="46C2A615" w:rsidR="00513965" w:rsidRDefault="00B64641">
      <w:pPr>
        <w:jc w:val="center"/>
        <w:rPr>
          <w:sz w:val="20"/>
          <w:szCs w:val="20"/>
        </w:rPr>
      </w:pPr>
      <w:r>
        <w:rPr>
          <w:sz w:val="20"/>
          <w:szCs w:val="20"/>
        </w:rPr>
        <w:t xml:space="preserve">                                                  </w:t>
      </w:r>
      <w:r>
        <w:rPr>
          <w:sz w:val="20"/>
          <w:szCs w:val="20"/>
        </w:rPr>
        <w:tab/>
        <w:t xml:space="preserve"> Preparation For 7th Grade Entry 202</w:t>
      </w:r>
      <w:r w:rsidR="00BC006D">
        <w:rPr>
          <w:sz w:val="20"/>
          <w:szCs w:val="20"/>
        </w:rPr>
        <w:t>5</w:t>
      </w:r>
      <w:r>
        <w:rPr>
          <w:sz w:val="20"/>
          <w:szCs w:val="20"/>
        </w:rPr>
        <w:t>-202</w:t>
      </w:r>
      <w:r w:rsidR="00BC006D">
        <w:rPr>
          <w:sz w:val="20"/>
          <w:szCs w:val="20"/>
        </w:rPr>
        <w:t>6</w:t>
      </w:r>
      <w:r>
        <w:rPr>
          <w:sz w:val="20"/>
          <w:szCs w:val="20"/>
        </w:rPr>
        <w:tab/>
      </w:r>
      <w:r>
        <w:rPr>
          <w:sz w:val="20"/>
          <w:szCs w:val="20"/>
        </w:rPr>
        <w:tab/>
      </w:r>
      <w:r>
        <w:rPr>
          <w:sz w:val="20"/>
          <w:szCs w:val="20"/>
        </w:rPr>
        <w:tab/>
      </w:r>
      <w:r>
        <w:rPr>
          <w:sz w:val="20"/>
          <w:szCs w:val="20"/>
        </w:rPr>
        <w:tab/>
      </w:r>
    </w:p>
    <w:p w14:paraId="3E3DE4AE" w14:textId="77777777" w:rsidR="00513965" w:rsidRDefault="00B64641">
      <w:pPr>
        <w:ind w:left="-90"/>
        <w:rPr>
          <w:sz w:val="20"/>
          <w:szCs w:val="20"/>
        </w:rPr>
      </w:pPr>
      <w:r>
        <w:rPr>
          <w:sz w:val="20"/>
          <w:szCs w:val="20"/>
        </w:rPr>
        <w:t xml:space="preserve">Dear Parents and Guardians of 6th Grade Students,  </w:t>
      </w:r>
    </w:p>
    <w:p w14:paraId="677ABA74" w14:textId="6C505018" w:rsidR="00513965" w:rsidRDefault="00B64641">
      <w:pPr>
        <w:spacing w:after="120" w:line="240" w:lineRule="auto"/>
        <w:ind w:left="-90"/>
        <w:jc w:val="both"/>
        <w:rPr>
          <w:b/>
          <w:sz w:val="20"/>
          <w:szCs w:val="20"/>
        </w:rPr>
      </w:pPr>
      <w:r>
        <w:rPr>
          <w:sz w:val="20"/>
          <w:szCs w:val="20"/>
        </w:rPr>
        <w:t>California schools are required by law to check the immunization records for all new student admissions at TK/Kindergarten through 12</w:t>
      </w:r>
      <w:r>
        <w:rPr>
          <w:sz w:val="20"/>
          <w:szCs w:val="20"/>
          <w:vertAlign w:val="superscript"/>
        </w:rPr>
        <w:t>th</w:t>
      </w:r>
      <w:r>
        <w:rPr>
          <w:sz w:val="20"/>
          <w:szCs w:val="20"/>
        </w:rPr>
        <w:t xml:space="preserve"> grade and all students advancing to 7</w:t>
      </w:r>
      <w:r>
        <w:rPr>
          <w:sz w:val="20"/>
          <w:szCs w:val="20"/>
          <w:vertAlign w:val="superscript"/>
        </w:rPr>
        <w:t>th</w:t>
      </w:r>
      <w:r>
        <w:rPr>
          <w:sz w:val="20"/>
          <w:szCs w:val="20"/>
        </w:rPr>
        <w:t xml:space="preserve"> grade </w:t>
      </w:r>
      <w:r>
        <w:rPr>
          <w:b/>
          <w:sz w:val="20"/>
          <w:szCs w:val="20"/>
        </w:rPr>
        <w:t>before</w:t>
      </w:r>
      <w:r>
        <w:rPr>
          <w:sz w:val="20"/>
          <w:szCs w:val="20"/>
        </w:rPr>
        <w:t xml:space="preserve"> entry.  </w:t>
      </w:r>
      <w:r>
        <w:rPr>
          <w:b/>
          <w:sz w:val="20"/>
          <w:szCs w:val="20"/>
        </w:rPr>
        <w:t>Please note the following California School Immunization requirements for 7th grade entry for Fall 202</w:t>
      </w:r>
      <w:r w:rsidR="00BC006D">
        <w:rPr>
          <w:b/>
          <w:sz w:val="20"/>
          <w:szCs w:val="20"/>
        </w:rPr>
        <w:t>5</w:t>
      </w:r>
      <w:r>
        <w:rPr>
          <w:b/>
          <w:sz w:val="20"/>
          <w:szCs w:val="20"/>
        </w:rPr>
        <w:t xml:space="preserve"> listed below (California Code of Regulations Title 17, Division 1, Chapter 4). </w:t>
      </w:r>
    </w:p>
    <w:p w14:paraId="35BFB357" w14:textId="756233F9" w:rsidR="002F6D2A" w:rsidRPr="00C36449" w:rsidRDefault="00B64641" w:rsidP="00C36449">
      <w:pPr>
        <w:spacing w:after="120" w:line="240" w:lineRule="auto"/>
        <w:ind w:left="-90"/>
        <w:jc w:val="both"/>
        <w:rPr>
          <w:sz w:val="20"/>
          <w:szCs w:val="20"/>
        </w:rPr>
      </w:pPr>
      <w:r>
        <w:rPr>
          <w:sz w:val="20"/>
          <w:szCs w:val="20"/>
        </w:rPr>
        <w:t>Please call and make an appointment (</w:t>
      </w:r>
      <w:proofErr w:type="gramStart"/>
      <w:r>
        <w:rPr>
          <w:sz w:val="20"/>
          <w:szCs w:val="20"/>
        </w:rPr>
        <w:t>e.g.</w:t>
      </w:r>
      <w:proofErr w:type="gramEnd"/>
      <w:r>
        <w:rPr>
          <w:sz w:val="20"/>
          <w:szCs w:val="20"/>
        </w:rPr>
        <w:t xml:space="preserve"> over Winter Break) with your child’s healthcare provider to ensure your child is vaccinated </w:t>
      </w:r>
      <w:r>
        <w:rPr>
          <w:b/>
          <w:i/>
          <w:sz w:val="20"/>
          <w:szCs w:val="20"/>
        </w:rPr>
        <w:t xml:space="preserve">prior </w:t>
      </w:r>
      <w:r>
        <w:rPr>
          <w:sz w:val="20"/>
          <w:szCs w:val="20"/>
        </w:rPr>
        <w:t xml:space="preserve">to 7th grade registration. This will allow for a smooth transition into 7th grade. If immunization requirements are not met, your child will not be allowed to start 7th grade.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612"/>
        <w:gridCol w:w="1440"/>
        <w:gridCol w:w="1620"/>
        <w:gridCol w:w="1530"/>
        <w:gridCol w:w="1440"/>
        <w:gridCol w:w="1702"/>
      </w:tblGrid>
      <w:tr w:rsidR="008F465B" w14:paraId="4DAC932B" w14:textId="77777777" w:rsidTr="008F465B">
        <w:tc>
          <w:tcPr>
            <w:tcW w:w="1612" w:type="dxa"/>
            <w:tcMar>
              <w:top w:w="0" w:type="dxa"/>
              <w:left w:w="100" w:type="dxa"/>
              <w:bottom w:w="0" w:type="dxa"/>
              <w:right w:w="100" w:type="dxa"/>
            </w:tcMar>
          </w:tcPr>
          <w:p w14:paraId="30489D6E" w14:textId="65882013" w:rsidR="008F465B" w:rsidRPr="008F465B" w:rsidRDefault="008F465B" w:rsidP="005F4CD2">
            <w:pPr>
              <w:pStyle w:val="NormalWeb"/>
              <w:spacing w:before="0" w:beforeAutospacing="0" w:after="0" w:afterAutospacing="0"/>
              <w:jc w:val="both"/>
              <w:rPr>
                <w:rFonts w:ascii="Calibri" w:hAnsi="Calibri" w:cs="Calibri"/>
                <w:b/>
                <w:bCs/>
                <w:color w:val="000000"/>
                <w:sz w:val="21"/>
                <w:szCs w:val="21"/>
              </w:rPr>
            </w:pPr>
            <w:r w:rsidRPr="008F465B">
              <w:rPr>
                <w:rFonts w:ascii="Calibri" w:hAnsi="Calibri" w:cs="Calibri"/>
                <w:b/>
                <w:bCs/>
                <w:color w:val="000000"/>
                <w:sz w:val="21"/>
                <w:szCs w:val="21"/>
              </w:rPr>
              <w:t>Grades</w:t>
            </w:r>
          </w:p>
        </w:tc>
        <w:tc>
          <w:tcPr>
            <w:tcW w:w="1440" w:type="dxa"/>
            <w:tcBorders>
              <w:right w:val="nil"/>
            </w:tcBorders>
            <w:tcMar>
              <w:top w:w="0" w:type="dxa"/>
              <w:left w:w="100" w:type="dxa"/>
              <w:bottom w:w="0" w:type="dxa"/>
              <w:right w:w="100" w:type="dxa"/>
            </w:tcMar>
          </w:tcPr>
          <w:p w14:paraId="6CCC60F8" w14:textId="3AA99A96" w:rsidR="008F465B" w:rsidRPr="008F465B" w:rsidRDefault="008F465B" w:rsidP="008F465B">
            <w:pPr>
              <w:pStyle w:val="NormalWeb"/>
              <w:spacing w:before="0" w:beforeAutospacing="0" w:after="0" w:afterAutospacing="0"/>
              <w:ind w:right="-185"/>
              <w:rPr>
                <w:rFonts w:ascii="Calibri" w:hAnsi="Calibri" w:cs="Calibri"/>
                <w:b/>
                <w:bCs/>
                <w:color w:val="000000"/>
                <w:sz w:val="21"/>
                <w:szCs w:val="21"/>
              </w:rPr>
            </w:pPr>
            <w:r w:rsidRPr="008F465B">
              <w:rPr>
                <w:rFonts w:ascii="Calibri" w:hAnsi="Calibri" w:cs="Calibri"/>
                <w:b/>
                <w:bCs/>
                <w:color w:val="000000"/>
                <w:sz w:val="21"/>
                <w:szCs w:val="21"/>
              </w:rPr>
              <w:t>Required Doses</w:t>
            </w:r>
          </w:p>
        </w:tc>
        <w:tc>
          <w:tcPr>
            <w:tcW w:w="1620" w:type="dxa"/>
            <w:tcBorders>
              <w:left w:val="nil"/>
              <w:right w:val="nil"/>
            </w:tcBorders>
            <w:tcMar>
              <w:top w:w="0" w:type="dxa"/>
              <w:left w:w="100" w:type="dxa"/>
              <w:bottom w:w="0" w:type="dxa"/>
              <w:right w:w="100" w:type="dxa"/>
            </w:tcMar>
          </w:tcPr>
          <w:p w14:paraId="77B10C64" w14:textId="77777777" w:rsidR="008F465B" w:rsidRPr="008F465B" w:rsidRDefault="008F465B" w:rsidP="008F465B">
            <w:pPr>
              <w:pStyle w:val="NormalWeb"/>
              <w:spacing w:before="0" w:beforeAutospacing="0" w:after="0" w:afterAutospacing="0"/>
              <w:ind w:left="-34" w:firstLine="34"/>
              <w:rPr>
                <w:rFonts w:ascii="Calibri" w:hAnsi="Calibri" w:cs="Calibri"/>
                <w:b/>
                <w:bCs/>
                <w:color w:val="000000"/>
                <w:sz w:val="21"/>
                <w:szCs w:val="21"/>
              </w:rPr>
            </w:pPr>
          </w:p>
        </w:tc>
        <w:tc>
          <w:tcPr>
            <w:tcW w:w="1530" w:type="dxa"/>
            <w:tcBorders>
              <w:left w:val="nil"/>
              <w:right w:val="nil"/>
            </w:tcBorders>
            <w:tcMar>
              <w:top w:w="0" w:type="dxa"/>
              <w:left w:w="100" w:type="dxa"/>
              <w:bottom w:w="0" w:type="dxa"/>
              <w:right w:w="100" w:type="dxa"/>
            </w:tcMar>
          </w:tcPr>
          <w:p w14:paraId="5E3553BC" w14:textId="77777777" w:rsidR="008F465B" w:rsidRDefault="008F465B" w:rsidP="005F4CD2">
            <w:pPr>
              <w:pStyle w:val="NormalWeb"/>
              <w:spacing w:before="0" w:beforeAutospacing="0" w:after="0" w:afterAutospacing="0"/>
              <w:rPr>
                <w:rFonts w:ascii="Calibri" w:hAnsi="Calibri" w:cs="Calibri"/>
                <w:color w:val="000000"/>
              </w:rPr>
            </w:pPr>
          </w:p>
        </w:tc>
        <w:tc>
          <w:tcPr>
            <w:tcW w:w="1440" w:type="dxa"/>
            <w:tcBorders>
              <w:left w:val="nil"/>
              <w:right w:val="nil"/>
            </w:tcBorders>
            <w:tcMar>
              <w:top w:w="0" w:type="dxa"/>
              <w:left w:w="100" w:type="dxa"/>
              <w:bottom w:w="0" w:type="dxa"/>
              <w:right w:w="100" w:type="dxa"/>
            </w:tcMar>
          </w:tcPr>
          <w:p w14:paraId="3EDA336E" w14:textId="77777777" w:rsidR="008F465B" w:rsidRDefault="008F465B" w:rsidP="005F4CD2">
            <w:pPr>
              <w:pStyle w:val="NormalWeb"/>
              <w:spacing w:before="0" w:beforeAutospacing="0" w:after="0" w:afterAutospacing="0"/>
              <w:jc w:val="both"/>
              <w:rPr>
                <w:rFonts w:ascii="Calibri" w:hAnsi="Calibri" w:cs="Calibri"/>
                <w:color w:val="000000"/>
              </w:rPr>
            </w:pPr>
          </w:p>
        </w:tc>
        <w:tc>
          <w:tcPr>
            <w:tcW w:w="1702" w:type="dxa"/>
            <w:tcBorders>
              <w:left w:val="nil"/>
            </w:tcBorders>
            <w:tcMar>
              <w:top w:w="0" w:type="dxa"/>
              <w:left w:w="100" w:type="dxa"/>
              <w:bottom w:w="0" w:type="dxa"/>
              <w:right w:w="100" w:type="dxa"/>
            </w:tcMar>
          </w:tcPr>
          <w:p w14:paraId="53F3DE86" w14:textId="77777777" w:rsidR="008F465B" w:rsidRDefault="008F465B" w:rsidP="008F465B">
            <w:pPr>
              <w:pStyle w:val="NormalWeb"/>
              <w:tabs>
                <w:tab w:val="left" w:pos="578"/>
              </w:tabs>
              <w:spacing w:before="0" w:beforeAutospacing="0" w:after="0" w:afterAutospacing="0"/>
              <w:ind w:right="-1501"/>
              <w:rPr>
                <w:rFonts w:ascii="Calibri" w:hAnsi="Calibri" w:cs="Calibri"/>
                <w:color w:val="000000"/>
              </w:rPr>
            </w:pPr>
          </w:p>
        </w:tc>
      </w:tr>
      <w:tr w:rsidR="002F6D2A" w14:paraId="448EB312" w14:textId="77777777" w:rsidTr="008F465B">
        <w:tc>
          <w:tcPr>
            <w:tcW w:w="1612" w:type="dxa"/>
            <w:tcMar>
              <w:top w:w="0" w:type="dxa"/>
              <w:left w:w="100" w:type="dxa"/>
              <w:bottom w:w="0" w:type="dxa"/>
              <w:right w:w="100" w:type="dxa"/>
            </w:tcMar>
            <w:hideMark/>
          </w:tcPr>
          <w:p w14:paraId="164FF3E3" w14:textId="77777777" w:rsidR="002F6D2A" w:rsidRPr="008F465B" w:rsidRDefault="002F6D2A" w:rsidP="005F4CD2">
            <w:pPr>
              <w:pStyle w:val="NormalWeb"/>
              <w:spacing w:before="0" w:beforeAutospacing="0" w:after="0" w:afterAutospacing="0"/>
              <w:jc w:val="both"/>
              <w:rPr>
                <w:b/>
                <w:bCs/>
              </w:rPr>
            </w:pPr>
            <w:r w:rsidRPr="008F465B">
              <w:rPr>
                <w:rFonts w:ascii="Calibri" w:hAnsi="Calibri" w:cs="Calibri"/>
                <w:b/>
                <w:bCs/>
                <w:color w:val="000000"/>
              </w:rPr>
              <w:t>K – 12</w:t>
            </w:r>
            <w:r w:rsidRPr="008F465B">
              <w:rPr>
                <w:rFonts w:ascii="Calibri" w:hAnsi="Calibri" w:cs="Calibri"/>
                <w:b/>
                <w:bCs/>
                <w:color w:val="000000"/>
                <w:sz w:val="12"/>
                <w:szCs w:val="12"/>
                <w:vertAlign w:val="superscript"/>
              </w:rPr>
              <w:t>th</w:t>
            </w:r>
          </w:p>
          <w:p w14:paraId="144C18CB" w14:textId="77777777" w:rsidR="002F6D2A" w:rsidRPr="008F465B" w:rsidRDefault="002F6D2A" w:rsidP="005F4CD2">
            <w:pPr>
              <w:pStyle w:val="NormalWeb"/>
              <w:spacing w:before="0" w:beforeAutospacing="0" w:after="0" w:afterAutospacing="0"/>
              <w:jc w:val="both"/>
              <w:rPr>
                <w:b/>
                <w:bCs/>
              </w:rPr>
            </w:pPr>
            <w:r w:rsidRPr="008F465B">
              <w:rPr>
                <w:rFonts w:ascii="Calibri" w:hAnsi="Calibri" w:cs="Calibri"/>
                <w:b/>
                <w:bCs/>
                <w:color w:val="000000"/>
              </w:rPr>
              <w:t>Admission</w:t>
            </w:r>
          </w:p>
        </w:tc>
        <w:tc>
          <w:tcPr>
            <w:tcW w:w="1440" w:type="dxa"/>
            <w:tcMar>
              <w:top w:w="0" w:type="dxa"/>
              <w:left w:w="100" w:type="dxa"/>
              <w:bottom w:w="0" w:type="dxa"/>
              <w:right w:w="100" w:type="dxa"/>
            </w:tcMar>
            <w:hideMark/>
          </w:tcPr>
          <w:p w14:paraId="465FE89B" w14:textId="77777777" w:rsidR="002F6D2A" w:rsidRDefault="002F6D2A" w:rsidP="005F4CD2">
            <w:pPr>
              <w:pStyle w:val="NormalWeb"/>
              <w:spacing w:before="0" w:beforeAutospacing="0" w:after="0" w:afterAutospacing="0"/>
            </w:pPr>
            <w:r>
              <w:rPr>
                <w:rFonts w:ascii="Calibri" w:hAnsi="Calibri" w:cs="Calibri"/>
                <w:color w:val="000000"/>
              </w:rPr>
              <w:t>4 Polio</w:t>
            </w:r>
            <w:r>
              <w:rPr>
                <w:rFonts w:ascii="Calibri" w:hAnsi="Calibri" w:cs="Calibri"/>
                <w:color w:val="000000"/>
                <w:sz w:val="12"/>
                <w:szCs w:val="12"/>
                <w:vertAlign w:val="superscript"/>
              </w:rPr>
              <w:t>4</w:t>
            </w:r>
          </w:p>
        </w:tc>
        <w:tc>
          <w:tcPr>
            <w:tcW w:w="1620" w:type="dxa"/>
            <w:tcMar>
              <w:top w:w="0" w:type="dxa"/>
              <w:left w:w="100" w:type="dxa"/>
              <w:bottom w:w="0" w:type="dxa"/>
              <w:right w:w="100" w:type="dxa"/>
            </w:tcMar>
            <w:hideMark/>
          </w:tcPr>
          <w:p w14:paraId="686B5960" w14:textId="77777777" w:rsidR="002F6D2A" w:rsidRDefault="002F6D2A" w:rsidP="005F4CD2">
            <w:pPr>
              <w:pStyle w:val="NormalWeb"/>
              <w:spacing w:before="0" w:beforeAutospacing="0" w:after="0" w:afterAutospacing="0"/>
            </w:pPr>
            <w:r>
              <w:rPr>
                <w:rFonts w:ascii="Calibri" w:hAnsi="Calibri" w:cs="Calibri"/>
                <w:color w:val="000000"/>
              </w:rPr>
              <w:t>5 DTap</w:t>
            </w:r>
            <w:r>
              <w:rPr>
                <w:rFonts w:ascii="Calibri" w:hAnsi="Calibri" w:cs="Calibri"/>
                <w:color w:val="000000"/>
                <w:sz w:val="12"/>
                <w:szCs w:val="12"/>
                <w:vertAlign w:val="superscript"/>
              </w:rPr>
              <w:t>5</w:t>
            </w:r>
          </w:p>
        </w:tc>
        <w:tc>
          <w:tcPr>
            <w:tcW w:w="1530" w:type="dxa"/>
            <w:tcMar>
              <w:top w:w="0" w:type="dxa"/>
              <w:left w:w="100" w:type="dxa"/>
              <w:bottom w:w="0" w:type="dxa"/>
              <w:right w:w="100" w:type="dxa"/>
            </w:tcMar>
            <w:hideMark/>
          </w:tcPr>
          <w:p w14:paraId="79509442" w14:textId="77777777" w:rsidR="002F6D2A" w:rsidRDefault="002F6D2A" w:rsidP="005F4CD2">
            <w:pPr>
              <w:pStyle w:val="NormalWeb"/>
              <w:spacing w:before="0" w:beforeAutospacing="0" w:after="0" w:afterAutospacing="0"/>
            </w:pPr>
            <w:r>
              <w:rPr>
                <w:rFonts w:ascii="Calibri" w:hAnsi="Calibri" w:cs="Calibri"/>
                <w:color w:val="000000"/>
              </w:rPr>
              <w:t>3 Hep B</w:t>
            </w:r>
            <w:r>
              <w:rPr>
                <w:rFonts w:ascii="Calibri" w:hAnsi="Calibri" w:cs="Calibri"/>
                <w:color w:val="000000"/>
                <w:sz w:val="12"/>
                <w:szCs w:val="12"/>
                <w:vertAlign w:val="superscript"/>
              </w:rPr>
              <w:t>6</w:t>
            </w:r>
          </w:p>
        </w:tc>
        <w:tc>
          <w:tcPr>
            <w:tcW w:w="1440" w:type="dxa"/>
            <w:tcMar>
              <w:top w:w="0" w:type="dxa"/>
              <w:left w:w="100" w:type="dxa"/>
              <w:bottom w:w="0" w:type="dxa"/>
              <w:right w:w="100" w:type="dxa"/>
            </w:tcMar>
            <w:hideMark/>
          </w:tcPr>
          <w:p w14:paraId="2354A6C2" w14:textId="77777777" w:rsidR="002F6D2A" w:rsidRDefault="002F6D2A" w:rsidP="005F4CD2">
            <w:pPr>
              <w:pStyle w:val="NormalWeb"/>
              <w:spacing w:before="0" w:beforeAutospacing="0" w:after="0" w:afterAutospacing="0"/>
              <w:jc w:val="both"/>
            </w:pPr>
            <w:r>
              <w:rPr>
                <w:rFonts w:ascii="Calibri" w:hAnsi="Calibri" w:cs="Calibri"/>
                <w:color w:val="000000"/>
              </w:rPr>
              <w:t>2 MMR</w:t>
            </w:r>
            <w:r>
              <w:rPr>
                <w:rFonts w:ascii="Calibri" w:hAnsi="Calibri" w:cs="Calibri"/>
                <w:color w:val="000000"/>
                <w:sz w:val="12"/>
                <w:szCs w:val="12"/>
                <w:vertAlign w:val="superscript"/>
              </w:rPr>
              <w:t>7</w:t>
            </w:r>
          </w:p>
        </w:tc>
        <w:tc>
          <w:tcPr>
            <w:tcW w:w="1702" w:type="dxa"/>
            <w:tcMar>
              <w:top w:w="0" w:type="dxa"/>
              <w:left w:w="100" w:type="dxa"/>
              <w:bottom w:w="0" w:type="dxa"/>
              <w:right w:w="100" w:type="dxa"/>
            </w:tcMar>
            <w:hideMark/>
          </w:tcPr>
          <w:p w14:paraId="018E20D8" w14:textId="77777777" w:rsidR="002F6D2A" w:rsidRDefault="002F6D2A" w:rsidP="008F465B">
            <w:pPr>
              <w:pStyle w:val="NormalWeb"/>
              <w:tabs>
                <w:tab w:val="left" w:pos="578"/>
              </w:tabs>
              <w:spacing w:before="0" w:beforeAutospacing="0" w:after="0" w:afterAutospacing="0"/>
            </w:pPr>
            <w:r>
              <w:rPr>
                <w:rFonts w:ascii="Calibri" w:hAnsi="Calibri" w:cs="Calibri"/>
                <w:color w:val="000000"/>
              </w:rPr>
              <w:t>2 Varicella</w:t>
            </w:r>
          </w:p>
        </w:tc>
      </w:tr>
      <w:tr w:rsidR="002F6D2A" w14:paraId="19E72C39" w14:textId="77777777" w:rsidTr="008F465B">
        <w:tc>
          <w:tcPr>
            <w:tcW w:w="1612" w:type="dxa"/>
            <w:tcMar>
              <w:top w:w="0" w:type="dxa"/>
              <w:left w:w="100" w:type="dxa"/>
              <w:bottom w:w="0" w:type="dxa"/>
              <w:right w:w="100" w:type="dxa"/>
            </w:tcMar>
            <w:hideMark/>
          </w:tcPr>
          <w:p w14:paraId="317880A6" w14:textId="77777777" w:rsidR="002F6D2A" w:rsidRPr="008F465B" w:rsidRDefault="002F6D2A" w:rsidP="005F4CD2">
            <w:pPr>
              <w:pStyle w:val="NormalWeb"/>
              <w:spacing w:before="0" w:beforeAutospacing="0" w:after="0" w:afterAutospacing="0"/>
              <w:rPr>
                <w:b/>
                <w:bCs/>
              </w:rPr>
            </w:pPr>
            <w:r w:rsidRPr="008F465B">
              <w:rPr>
                <w:b/>
                <w:bCs/>
                <w:color w:val="000000"/>
              </w:rPr>
              <w:t> </w:t>
            </w:r>
          </w:p>
          <w:p w14:paraId="76EC2DB4" w14:textId="77777777" w:rsidR="002F6D2A" w:rsidRPr="008F465B" w:rsidRDefault="002F6D2A" w:rsidP="005F4CD2">
            <w:pPr>
              <w:pStyle w:val="NormalWeb"/>
              <w:spacing w:before="0" w:beforeAutospacing="0" w:after="0" w:afterAutospacing="0"/>
              <w:rPr>
                <w:b/>
                <w:bCs/>
              </w:rPr>
            </w:pPr>
            <w:r w:rsidRPr="008F465B">
              <w:rPr>
                <w:rFonts w:ascii="Calibri" w:hAnsi="Calibri" w:cs="Calibri"/>
                <w:b/>
                <w:bCs/>
                <w:color w:val="000000"/>
              </w:rPr>
              <w:t>(7</w:t>
            </w:r>
            <w:r w:rsidRPr="008F465B">
              <w:rPr>
                <w:rFonts w:ascii="Calibri" w:hAnsi="Calibri" w:cs="Calibri"/>
                <w:b/>
                <w:bCs/>
                <w:color w:val="000000"/>
                <w:sz w:val="12"/>
                <w:szCs w:val="12"/>
                <w:vertAlign w:val="superscript"/>
              </w:rPr>
              <w:t>th</w:t>
            </w:r>
            <w:r w:rsidRPr="008F465B">
              <w:rPr>
                <w:rFonts w:ascii="Calibri" w:hAnsi="Calibri" w:cs="Calibri"/>
                <w:b/>
                <w:bCs/>
                <w:color w:val="000000"/>
              </w:rPr>
              <w:t>-12</w:t>
            </w:r>
            <w:r w:rsidRPr="008F465B">
              <w:rPr>
                <w:rFonts w:ascii="Calibri" w:hAnsi="Calibri" w:cs="Calibri"/>
                <w:b/>
                <w:bCs/>
                <w:color w:val="000000"/>
                <w:sz w:val="12"/>
                <w:szCs w:val="12"/>
                <w:vertAlign w:val="superscript"/>
              </w:rPr>
              <w:t>th</w:t>
            </w:r>
            <w:r w:rsidRPr="008F465B">
              <w:rPr>
                <w:rFonts w:ascii="Calibri" w:hAnsi="Calibri" w:cs="Calibri"/>
                <w:b/>
                <w:bCs/>
                <w:color w:val="000000"/>
              </w:rPr>
              <w:t>)</w:t>
            </w:r>
            <w:r w:rsidRPr="008F465B">
              <w:rPr>
                <w:rFonts w:ascii="Calibri" w:hAnsi="Calibri" w:cs="Calibri"/>
                <w:b/>
                <w:bCs/>
                <w:color w:val="000000"/>
                <w:sz w:val="12"/>
                <w:szCs w:val="12"/>
                <w:vertAlign w:val="superscript"/>
              </w:rPr>
              <w:t>8</w:t>
            </w:r>
          </w:p>
        </w:tc>
        <w:tc>
          <w:tcPr>
            <w:tcW w:w="1440" w:type="dxa"/>
            <w:tcMar>
              <w:top w:w="0" w:type="dxa"/>
              <w:left w:w="100" w:type="dxa"/>
              <w:bottom w:w="0" w:type="dxa"/>
              <w:right w:w="100" w:type="dxa"/>
            </w:tcMar>
            <w:hideMark/>
          </w:tcPr>
          <w:p w14:paraId="5DA24494" w14:textId="77777777" w:rsidR="002F6D2A" w:rsidRDefault="002F6D2A" w:rsidP="005F4CD2">
            <w:pPr>
              <w:pStyle w:val="NormalWeb"/>
              <w:spacing w:before="0" w:beforeAutospacing="0" w:after="0" w:afterAutospacing="0"/>
            </w:pPr>
            <w:r>
              <w:rPr>
                <w:rFonts w:ascii="Calibri" w:hAnsi="Calibri" w:cs="Calibri"/>
                <w:color w:val="000000"/>
              </w:rPr>
              <w:t>K-12 doses </w:t>
            </w:r>
          </w:p>
        </w:tc>
        <w:tc>
          <w:tcPr>
            <w:tcW w:w="1620" w:type="dxa"/>
            <w:tcMar>
              <w:top w:w="0" w:type="dxa"/>
              <w:left w:w="100" w:type="dxa"/>
              <w:bottom w:w="0" w:type="dxa"/>
              <w:right w:w="100" w:type="dxa"/>
            </w:tcMar>
            <w:hideMark/>
          </w:tcPr>
          <w:p w14:paraId="352DDB13" w14:textId="77777777" w:rsidR="002F6D2A" w:rsidRDefault="002F6D2A" w:rsidP="005F4CD2">
            <w:pPr>
              <w:pStyle w:val="NormalWeb"/>
              <w:spacing w:before="0" w:beforeAutospacing="0" w:after="0" w:afterAutospacing="0"/>
            </w:pPr>
            <w:r>
              <w:rPr>
                <w:rFonts w:ascii="Calibri" w:hAnsi="Calibri" w:cs="Calibri"/>
                <w:color w:val="000000"/>
              </w:rPr>
              <w:t>+ 1 Tdap</w:t>
            </w:r>
          </w:p>
        </w:tc>
        <w:tc>
          <w:tcPr>
            <w:tcW w:w="1530" w:type="dxa"/>
            <w:tcMar>
              <w:top w:w="0" w:type="dxa"/>
              <w:left w:w="100" w:type="dxa"/>
              <w:bottom w:w="0" w:type="dxa"/>
              <w:right w:w="100" w:type="dxa"/>
            </w:tcMar>
            <w:hideMark/>
          </w:tcPr>
          <w:p w14:paraId="3B3A44AA" w14:textId="77777777" w:rsidR="002F6D2A" w:rsidRDefault="002F6D2A" w:rsidP="005F4CD2">
            <w:pPr>
              <w:pStyle w:val="NormalWeb"/>
              <w:spacing w:before="0" w:beforeAutospacing="0" w:after="240" w:afterAutospacing="0"/>
            </w:pPr>
            <w:r>
              <w:rPr>
                <w:rFonts w:ascii="Calibri" w:hAnsi="Calibri" w:cs="Calibri"/>
                <w:color w:val="000000"/>
                <w:sz w:val="16"/>
                <w:szCs w:val="16"/>
              </w:rPr>
              <w:br/>
            </w:r>
            <w:r>
              <w:rPr>
                <w:rFonts w:ascii="Calibri" w:hAnsi="Calibri" w:cs="Calibri"/>
                <w:color w:val="000000"/>
                <w:sz w:val="16"/>
                <w:szCs w:val="16"/>
              </w:rPr>
              <w:br/>
            </w:r>
            <w:r>
              <w:rPr>
                <w:rFonts w:ascii="Calibri" w:hAnsi="Calibri" w:cs="Calibri"/>
                <w:color w:val="000000"/>
                <w:sz w:val="16"/>
                <w:szCs w:val="16"/>
              </w:rPr>
              <w:br/>
            </w:r>
          </w:p>
        </w:tc>
        <w:tc>
          <w:tcPr>
            <w:tcW w:w="1440" w:type="dxa"/>
            <w:tcMar>
              <w:top w:w="0" w:type="dxa"/>
              <w:left w:w="100" w:type="dxa"/>
              <w:bottom w:w="0" w:type="dxa"/>
              <w:right w:w="100" w:type="dxa"/>
            </w:tcMar>
            <w:hideMark/>
          </w:tcPr>
          <w:p w14:paraId="456902A7" w14:textId="77777777" w:rsidR="002F6D2A" w:rsidRDefault="002F6D2A" w:rsidP="005F4CD2"/>
        </w:tc>
        <w:tc>
          <w:tcPr>
            <w:tcW w:w="1702" w:type="dxa"/>
            <w:tcMar>
              <w:top w:w="0" w:type="dxa"/>
              <w:left w:w="100" w:type="dxa"/>
              <w:bottom w:w="0" w:type="dxa"/>
              <w:right w:w="100" w:type="dxa"/>
            </w:tcMar>
            <w:hideMark/>
          </w:tcPr>
          <w:p w14:paraId="689792CA" w14:textId="77777777" w:rsidR="002F6D2A" w:rsidRDefault="002F6D2A" w:rsidP="008F465B">
            <w:pPr>
              <w:pStyle w:val="NormalWeb"/>
              <w:tabs>
                <w:tab w:val="left" w:pos="578"/>
              </w:tabs>
              <w:spacing w:before="0" w:beforeAutospacing="0" w:after="240" w:afterAutospacing="0"/>
              <w:ind w:left="360" w:right="-390"/>
            </w:pPr>
            <w:r>
              <w:rPr>
                <w:rFonts w:ascii="Calibri" w:hAnsi="Calibri" w:cs="Calibri"/>
                <w:color w:val="000000"/>
              </w:rPr>
              <w:br/>
            </w:r>
            <w:r>
              <w:rPr>
                <w:rFonts w:ascii="Calibri" w:hAnsi="Calibri" w:cs="Calibri"/>
                <w:color w:val="000000"/>
              </w:rPr>
              <w:br/>
            </w:r>
            <w:r>
              <w:rPr>
                <w:rFonts w:ascii="Calibri" w:hAnsi="Calibri" w:cs="Calibri"/>
                <w:color w:val="000000"/>
              </w:rPr>
              <w:br/>
            </w:r>
          </w:p>
        </w:tc>
      </w:tr>
      <w:tr w:rsidR="002F6D2A" w14:paraId="4797EABF" w14:textId="77777777" w:rsidTr="008F465B">
        <w:tc>
          <w:tcPr>
            <w:tcW w:w="1612" w:type="dxa"/>
            <w:tcMar>
              <w:top w:w="0" w:type="dxa"/>
              <w:left w:w="100" w:type="dxa"/>
              <w:bottom w:w="0" w:type="dxa"/>
              <w:right w:w="100" w:type="dxa"/>
            </w:tcMar>
            <w:hideMark/>
          </w:tcPr>
          <w:p w14:paraId="54983C34" w14:textId="77777777" w:rsidR="002F6D2A" w:rsidRPr="008F465B" w:rsidRDefault="002F6D2A" w:rsidP="005F4CD2">
            <w:pPr>
              <w:pStyle w:val="NormalWeb"/>
              <w:spacing w:before="0" w:beforeAutospacing="0" w:after="0" w:afterAutospacing="0"/>
              <w:rPr>
                <w:b/>
                <w:bCs/>
              </w:rPr>
            </w:pPr>
            <w:r w:rsidRPr="008F465B">
              <w:rPr>
                <w:rFonts w:ascii="Calibri" w:hAnsi="Calibri" w:cs="Calibri"/>
                <w:b/>
                <w:bCs/>
                <w:color w:val="000000"/>
              </w:rPr>
              <w:t>7</w:t>
            </w:r>
            <w:r w:rsidRPr="008F465B">
              <w:rPr>
                <w:rFonts w:ascii="Calibri" w:hAnsi="Calibri" w:cs="Calibri"/>
                <w:b/>
                <w:bCs/>
                <w:color w:val="000000"/>
                <w:sz w:val="12"/>
                <w:szCs w:val="12"/>
                <w:vertAlign w:val="superscript"/>
              </w:rPr>
              <w:t>th</w:t>
            </w:r>
            <w:r w:rsidRPr="008F465B">
              <w:rPr>
                <w:rFonts w:ascii="Calibri" w:hAnsi="Calibri" w:cs="Calibri"/>
                <w:b/>
                <w:bCs/>
                <w:color w:val="000000"/>
              </w:rPr>
              <w:t xml:space="preserve"> grade Advancement </w:t>
            </w:r>
            <w:r w:rsidRPr="008F465B">
              <w:rPr>
                <w:rFonts w:ascii="Calibri" w:hAnsi="Calibri" w:cs="Calibri"/>
                <w:b/>
                <w:bCs/>
                <w:color w:val="000000"/>
                <w:sz w:val="12"/>
                <w:szCs w:val="12"/>
                <w:vertAlign w:val="superscript"/>
              </w:rPr>
              <w:t>9,10</w:t>
            </w:r>
          </w:p>
        </w:tc>
        <w:tc>
          <w:tcPr>
            <w:tcW w:w="1440" w:type="dxa"/>
            <w:tcMar>
              <w:top w:w="0" w:type="dxa"/>
              <w:left w:w="100" w:type="dxa"/>
              <w:bottom w:w="0" w:type="dxa"/>
              <w:right w:w="100" w:type="dxa"/>
            </w:tcMar>
            <w:hideMark/>
          </w:tcPr>
          <w:p w14:paraId="6F4A8B40" w14:textId="77777777" w:rsidR="002F6D2A" w:rsidRDefault="002F6D2A" w:rsidP="005F4CD2"/>
        </w:tc>
        <w:tc>
          <w:tcPr>
            <w:tcW w:w="1620" w:type="dxa"/>
            <w:tcMar>
              <w:top w:w="0" w:type="dxa"/>
              <w:left w:w="100" w:type="dxa"/>
              <w:bottom w:w="0" w:type="dxa"/>
              <w:right w:w="100" w:type="dxa"/>
            </w:tcMar>
            <w:hideMark/>
          </w:tcPr>
          <w:p w14:paraId="19CD19D4" w14:textId="77777777" w:rsidR="002F6D2A" w:rsidRDefault="002F6D2A" w:rsidP="005F4CD2">
            <w:pPr>
              <w:pStyle w:val="NormalWeb"/>
              <w:spacing w:before="0" w:beforeAutospacing="0" w:after="0" w:afterAutospacing="0"/>
            </w:pPr>
            <w:r>
              <w:rPr>
                <w:rFonts w:ascii="Calibri" w:hAnsi="Calibri" w:cs="Calibri"/>
                <w:color w:val="000000"/>
              </w:rPr>
              <w:t>    1 Tdap</w:t>
            </w:r>
            <w:r>
              <w:rPr>
                <w:rFonts w:ascii="Calibri" w:hAnsi="Calibri" w:cs="Calibri"/>
                <w:color w:val="000000"/>
                <w:sz w:val="12"/>
                <w:szCs w:val="12"/>
                <w:vertAlign w:val="superscript"/>
              </w:rPr>
              <w:t>8 </w:t>
            </w:r>
          </w:p>
        </w:tc>
        <w:tc>
          <w:tcPr>
            <w:tcW w:w="1530" w:type="dxa"/>
            <w:tcMar>
              <w:top w:w="0" w:type="dxa"/>
              <w:left w:w="100" w:type="dxa"/>
              <w:bottom w:w="0" w:type="dxa"/>
              <w:right w:w="100" w:type="dxa"/>
            </w:tcMar>
            <w:hideMark/>
          </w:tcPr>
          <w:p w14:paraId="6C648BFE" w14:textId="77777777" w:rsidR="002F6D2A" w:rsidRDefault="002F6D2A" w:rsidP="005F4CD2"/>
        </w:tc>
        <w:tc>
          <w:tcPr>
            <w:tcW w:w="1440" w:type="dxa"/>
            <w:tcMar>
              <w:top w:w="0" w:type="dxa"/>
              <w:left w:w="100" w:type="dxa"/>
              <w:bottom w:w="0" w:type="dxa"/>
              <w:right w:w="100" w:type="dxa"/>
            </w:tcMar>
            <w:hideMark/>
          </w:tcPr>
          <w:p w14:paraId="685B6F08" w14:textId="77777777" w:rsidR="002F6D2A" w:rsidRDefault="002F6D2A" w:rsidP="005F4CD2"/>
        </w:tc>
        <w:tc>
          <w:tcPr>
            <w:tcW w:w="1702" w:type="dxa"/>
            <w:tcMar>
              <w:top w:w="0" w:type="dxa"/>
              <w:left w:w="100" w:type="dxa"/>
              <w:bottom w:w="0" w:type="dxa"/>
              <w:right w:w="100" w:type="dxa"/>
            </w:tcMar>
            <w:hideMark/>
          </w:tcPr>
          <w:p w14:paraId="16BF6525" w14:textId="77777777" w:rsidR="002F6D2A" w:rsidRDefault="002F6D2A" w:rsidP="008F465B">
            <w:pPr>
              <w:pStyle w:val="NormalWeb"/>
              <w:tabs>
                <w:tab w:val="left" w:pos="578"/>
              </w:tabs>
              <w:spacing w:before="0" w:beforeAutospacing="0" w:after="0" w:afterAutospacing="0"/>
            </w:pPr>
            <w:r>
              <w:rPr>
                <w:rFonts w:ascii="Calibri" w:hAnsi="Calibri" w:cs="Calibri"/>
                <w:color w:val="000000"/>
              </w:rPr>
              <w:t xml:space="preserve"> 2 Varicella</w:t>
            </w:r>
            <w:r>
              <w:rPr>
                <w:rFonts w:ascii="Calibri" w:hAnsi="Calibri" w:cs="Calibri"/>
                <w:color w:val="000000"/>
                <w:sz w:val="12"/>
                <w:szCs w:val="12"/>
                <w:vertAlign w:val="superscript"/>
              </w:rPr>
              <w:t>10</w:t>
            </w:r>
          </w:p>
        </w:tc>
      </w:tr>
    </w:tbl>
    <w:p w14:paraId="2A6A6797" w14:textId="77777777" w:rsidR="00C36449" w:rsidRDefault="00C36449" w:rsidP="00C36449">
      <w:pPr>
        <w:spacing w:after="120" w:line="240" w:lineRule="auto"/>
        <w:jc w:val="both"/>
        <w:rPr>
          <w:sz w:val="20"/>
          <w:szCs w:val="20"/>
        </w:rPr>
      </w:pPr>
    </w:p>
    <w:p w14:paraId="4F28BB79" w14:textId="5370D363" w:rsidR="00513965" w:rsidRDefault="00B64641" w:rsidP="00C36449">
      <w:pPr>
        <w:spacing w:after="120" w:line="240" w:lineRule="auto"/>
        <w:jc w:val="both"/>
        <w:rPr>
          <w:sz w:val="20"/>
          <w:szCs w:val="20"/>
        </w:rPr>
      </w:pPr>
      <w:r>
        <w:rPr>
          <w:sz w:val="20"/>
          <w:szCs w:val="20"/>
        </w:rPr>
        <w:t xml:space="preserve">It is suggested by your school nurse you provide proof of vaccinations to your current school office this school year. If a child has a personal belief or medical exemption, the child will need to meet all current immunization requirements (K-12 admission + 7th grade advancement) or obtain a medical exemption through CAIR-ME. Your child may receive the necessary vaccines from their primary care practitioner. </w:t>
      </w:r>
      <w:r>
        <w:rPr>
          <w:b/>
          <w:i/>
          <w:sz w:val="20"/>
          <w:szCs w:val="20"/>
        </w:rPr>
        <w:t xml:space="preserve">It is important to get your child vaccinated early so there will be no issue with school entry. Your child will not be admitted if the above requirements are not met. </w:t>
      </w:r>
      <w:r>
        <w:rPr>
          <w:sz w:val="20"/>
          <w:szCs w:val="20"/>
        </w:rPr>
        <w:t>Please make sure you bring your child’s vaccine record to the school so it may be on file. Should you have questions, please contact your child’s health care provider or Orange County Public Health at (800) 564-8448 or contact your school nurse.</w:t>
      </w:r>
    </w:p>
    <w:p w14:paraId="68ACEF11" w14:textId="3CBE2646" w:rsidR="00513965" w:rsidRDefault="00B64641">
      <w:pPr>
        <w:jc w:val="both"/>
        <w:rPr>
          <w:sz w:val="20"/>
          <w:szCs w:val="20"/>
        </w:rPr>
      </w:pPr>
      <w:r>
        <w:rPr>
          <w:sz w:val="20"/>
          <w:szCs w:val="20"/>
        </w:rPr>
        <w:t xml:space="preserve">For information on medical exemptions please refer to the link </w:t>
      </w:r>
      <w:hyperlink r:id="rId8">
        <w:r>
          <w:rPr>
            <w:color w:val="0563C1"/>
            <w:sz w:val="20"/>
            <w:szCs w:val="20"/>
            <w:u w:val="single"/>
          </w:rPr>
          <w:t>www.shotsforschool.org</w:t>
        </w:r>
      </w:hyperlink>
      <w:r>
        <w:rPr>
          <w:sz w:val="20"/>
          <w:szCs w:val="20"/>
        </w:rPr>
        <w:t xml:space="preserve"> for specific requirements.</w:t>
      </w:r>
    </w:p>
    <w:p w14:paraId="2FAD123E"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1. Requirements for K-12 admission also apply to transfer pupils. </w:t>
      </w:r>
    </w:p>
    <w:p w14:paraId="5D12A485" w14:textId="6707CF3B"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2. Combination vaccines (e.g., MMRV) meet the requirements for individual component vaccines. Doses of DTP count towards the DTaP requirement. </w:t>
      </w:r>
    </w:p>
    <w:p w14:paraId="486D36A6"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3. Any vaccine administered four or fewer days prior to the minimum required age is valid. </w:t>
      </w:r>
    </w:p>
    <w:p w14:paraId="0AB7CA49" w14:textId="47D81A13"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4. Three doses of polio vaccine meet the requirement if one dose was given on or after the 4th birthday. </w:t>
      </w:r>
    </w:p>
    <w:p w14:paraId="5B2587EC"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5. Four doses of DTaP meet the requirement if at least one dose was given on or after the 4th birthday. Three doses meet the requirement if at least one dose of Tdap, DTaP, or DTP vaccine was given on or after the 7th birthday (also meets the 7th-12th grade Tdap requirement. See fn. 8.) One or two doses of Td vaccine given on or after the 7th birthday count towards the K-12 requirement. </w:t>
      </w:r>
    </w:p>
    <w:p w14:paraId="2220D102"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6. For 7th grade admission, refer to Health and Safety Code section 120335, subdivision (c). </w:t>
      </w:r>
    </w:p>
    <w:p w14:paraId="536B63B7"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 xml:space="preserve">7. Two doses of measles, two doses of mumps, and one dose of rubella vaccine meet the requirement, separately or combined. Only doses administered on or after the 1st birthday meet the requirement. </w:t>
      </w:r>
    </w:p>
    <w:p w14:paraId="4417FB13" w14:textId="77777777" w:rsidR="00E85913" w:rsidRDefault="00E85913" w:rsidP="00E85913">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8. For 7th-12th graders, at least one dose of pertussis</w:t>
      </w:r>
      <w:r>
        <w:rPr>
          <w:rFonts w:ascii="Times New Roman" w:eastAsia="Times New Roman" w:hAnsi="Times New Roman" w:cs="Times New Roman"/>
          <w:sz w:val="18"/>
          <w:szCs w:val="18"/>
        </w:rPr>
        <w:t xml:space="preserve"> </w:t>
      </w:r>
      <w:r w:rsidRPr="00E85913">
        <w:rPr>
          <w:rFonts w:ascii="Times New Roman" w:eastAsia="Times New Roman" w:hAnsi="Times New Roman" w:cs="Times New Roman"/>
          <w:sz w:val="18"/>
          <w:szCs w:val="18"/>
        </w:rPr>
        <w:t xml:space="preserve">containing vaccine is required on or after the 7th birthday. </w:t>
      </w:r>
    </w:p>
    <w:p w14:paraId="0A7362C3" w14:textId="6806AF9B" w:rsidR="002F6D2A" w:rsidRPr="00C36449" w:rsidRDefault="00E85913" w:rsidP="00C36449">
      <w:pPr>
        <w:spacing w:after="0" w:line="240" w:lineRule="auto"/>
        <w:rPr>
          <w:rFonts w:ascii="Times New Roman" w:eastAsia="Times New Roman" w:hAnsi="Times New Roman" w:cs="Times New Roman"/>
          <w:sz w:val="18"/>
          <w:szCs w:val="18"/>
        </w:rPr>
      </w:pPr>
      <w:r w:rsidRPr="00E85913">
        <w:rPr>
          <w:rFonts w:ascii="Times New Roman" w:eastAsia="Times New Roman" w:hAnsi="Times New Roman" w:cs="Times New Roman"/>
          <w:sz w:val="18"/>
          <w:szCs w:val="18"/>
        </w:rPr>
        <w:t>9. For children in ungraded schools, pupils 12 years and older are subject to the 7th grade advancement requirements. 10. The varicella requirement for seventh grade advancement expires after June 30, 202</w:t>
      </w:r>
      <w:r w:rsidR="00BC006D">
        <w:rPr>
          <w:rFonts w:ascii="Times New Roman" w:eastAsia="Times New Roman" w:hAnsi="Times New Roman" w:cs="Times New Roman"/>
          <w:sz w:val="18"/>
          <w:szCs w:val="18"/>
        </w:rPr>
        <w:t>6</w:t>
      </w:r>
      <w:r w:rsidRPr="00E85913">
        <w:rPr>
          <w:rFonts w:ascii="Times New Roman" w:eastAsia="Times New Roman" w:hAnsi="Times New Roman" w:cs="Times New Roman"/>
          <w:sz w:val="18"/>
          <w:szCs w:val="18"/>
        </w:rPr>
        <w:t>.</w:t>
      </w:r>
    </w:p>
    <w:sectPr w:rsidR="002F6D2A" w:rsidRPr="00C36449">
      <w:footerReference w:type="even" r:id="rId9"/>
      <w:footerReference w:type="default" r:id="rId10"/>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126" w14:textId="77777777" w:rsidR="00CC6000" w:rsidRDefault="00CC6000">
      <w:pPr>
        <w:spacing w:after="0" w:line="240" w:lineRule="auto"/>
      </w:pPr>
      <w:r>
        <w:separator/>
      </w:r>
    </w:p>
  </w:endnote>
  <w:endnote w:type="continuationSeparator" w:id="0">
    <w:p w14:paraId="0AAD3B4E" w14:textId="77777777" w:rsidR="00CC6000" w:rsidRDefault="00CC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帽ƐM"/>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altName w:val="﷽﷽﷽﷽﷽﷽﷽﷽Ǻ怀"/>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3973" w14:textId="77777777" w:rsidR="00513965" w:rsidRDefault="00B64641">
    <w:pPr>
      <w:pBdr>
        <w:top w:val="nil"/>
        <w:left w:val="nil"/>
        <w:bottom w:val="nil"/>
        <w:right w:val="nil"/>
        <w:between w:val="nil"/>
      </w:pBdr>
      <w:tabs>
        <w:tab w:val="center" w:pos="4680"/>
        <w:tab w:val="right" w:pos="9360"/>
      </w:tabs>
      <w:spacing w:after="0" w:line="240" w:lineRule="auto"/>
      <w:rPr>
        <w:color w:val="000000"/>
      </w:rPr>
    </w:pPr>
    <w:r>
      <w:rPr>
        <w:color w:val="000000"/>
      </w:rPr>
      <w:t xml:space="preserve">[Type </w:t>
    </w:r>
    <w:proofErr w:type="gramStart"/>
    <w:r>
      <w:rPr>
        <w:color w:val="000000"/>
      </w:rPr>
      <w:t>text][</w:t>
    </w:r>
    <w:proofErr w:type="gramEnd"/>
    <w:r>
      <w:rPr>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968" w14:textId="77777777" w:rsidR="00513965" w:rsidRDefault="00B64641">
    <w:pPr>
      <w:pBdr>
        <w:top w:val="nil"/>
        <w:left w:val="nil"/>
        <w:bottom w:val="nil"/>
        <w:right w:val="nil"/>
        <w:between w:val="nil"/>
      </w:pBdr>
      <w:tabs>
        <w:tab w:val="center" w:pos="4680"/>
        <w:tab w:val="right" w:pos="9360"/>
      </w:tabs>
      <w:spacing w:after="0" w:line="240" w:lineRule="auto"/>
      <w:rPr>
        <w:sz w:val="16"/>
        <w:szCs w:val="16"/>
      </w:rPr>
    </w:pPr>
    <w:r>
      <w:rPr>
        <w:color w:val="000000"/>
      </w:rPr>
      <w:tab/>
    </w:r>
    <w:r>
      <w:rPr>
        <w:color w:val="000000"/>
      </w:rPr>
      <w:tab/>
    </w:r>
    <w:r>
      <w:rPr>
        <w:sz w:val="16"/>
        <w:szCs w:val="16"/>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75A9" w14:textId="77777777" w:rsidR="00CC6000" w:rsidRDefault="00CC6000">
      <w:pPr>
        <w:spacing w:after="0" w:line="240" w:lineRule="auto"/>
      </w:pPr>
      <w:r>
        <w:separator/>
      </w:r>
    </w:p>
  </w:footnote>
  <w:footnote w:type="continuationSeparator" w:id="0">
    <w:p w14:paraId="59580681" w14:textId="77777777" w:rsidR="00CC6000" w:rsidRDefault="00CC6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65"/>
    <w:rsid w:val="000B29EA"/>
    <w:rsid w:val="002F6D2A"/>
    <w:rsid w:val="00513965"/>
    <w:rsid w:val="008F465B"/>
    <w:rsid w:val="00B64641"/>
    <w:rsid w:val="00BC006D"/>
    <w:rsid w:val="00C36449"/>
    <w:rsid w:val="00CC6000"/>
    <w:rsid w:val="00E811B2"/>
    <w:rsid w:val="00E85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654E"/>
  <w15:docId w15:val="{A7708EFF-EB09-A244-B42D-6E52426C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273"/>
    <w:pPr>
      <w:keepNext/>
      <w:spacing w:after="0" w:line="240" w:lineRule="auto"/>
      <w:jc w:val="center"/>
      <w:outlineLvl w:val="0"/>
    </w:pPr>
    <w:rPr>
      <w:rFonts w:ascii="Arial" w:eastAsia="Times" w:hAnsi="Arial" w:cs="Times New Roman"/>
      <w:b/>
      <w:noProof/>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24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D8"/>
    <w:rPr>
      <w:rFonts w:ascii="Segoe UI" w:hAnsi="Segoe UI" w:cs="Segoe UI"/>
      <w:sz w:val="18"/>
      <w:szCs w:val="18"/>
    </w:rPr>
  </w:style>
  <w:style w:type="paragraph" w:styleId="Header">
    <w:name w:val="header"/>
    <w:basedOn w:val="Normal"/>
    <w:link w:val="HeaderChar"/>
    <w:uiPriority w:val="99"/>
    <w:unhideWhenUsed/>
    <w:rsid w:val="0001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EC"/>
  </w:style>
  <w:style w:type="paragraph" w:styleId="Footer">
    <w:name w:val="footer"/>
    <w:basedOn w:val="Normal"/>
    <w:link w:val="FooterChar"/>
    <w:uiPriority w:val="99"/>
    <w:unhideWhenUsed/>
    <w:rsid w:val="0001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EC"/>
  </w:style>
  <w:style w:type="paragraph" w:styleId="NormalWeb">
    <w:name w:val="Normal (Web)"/>
    <w:basedOn w:val="Normal"/>
    <w:uiPriority w:val="99"/>
    <w:semiHidden/>
    <w:unhideWhenUsed/>
    <w:rsid w:val="00CD29B7"/>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CD29B7"/>
    <w:rPr>
      <w:b/>
      <w:bCs/>
    </w:rPr>
  </w:style>
  <w:style w:type="character" w:styleId="Hyperlink">
    <w:name w:val="Hyperlink"/>
    <w:basedOn w:val="DefaultParagraphFont"/>
    <w:uiPriority w:val="99"/>
    <w:unhideWhenUsed/>
    <w:rsid w:val="00126A21"/>
    <w:rPr>
      <w:color w:val="0563C1" w:themeColor="hyperlink"/>
      <w:u w:val="single"/>
    </w:rPr>
  </w:style>
  <w:style w:type="character" w:customStyle="1" w:styleId="Heading1Char">
    <w:name w:val="Heading 1 Char"/>
    <w:basedOn w:val="DefaultParagraphFont"/>
    <w:link w:val="Heading1"/>
    <w:rsid w:val="00951273"/>
    <w:rPr>
      <w:rFonts w:ascii="Arial" w:eastAsia="Times" w:hAnsi="Arial" w:cs="Times New Roman"/>
      <w:b/>
      <w:noProof/>
      <w:sz w:val="24"/>
      <w:szCs w:val="20"/>
    </w:rPr>
  </w:style>
  <w:style w:type="paragraph" w:styleId="ListParagraph">
    <w:name w:val="List Paragraph"/>
    <w:basedOn w:val="Normal"/>
    <w:uiPriority w:val="34"/>
    <w:qFormat/>
    <w:rsid w:val="00E65FB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09760">
      <w:bodyDiv w:val="1"/>
      <w:marLeft w:val="0"/>
      <w:marRight w:val="0"/>
      <w:marTop w:val="0"/>
      <w:marBottom w:val="0"/>
      <w:divBdr>
        <w:top w:val="none" w:sz="0" w:space="0" w:color="auto"/>
        <w:left w:val="none" w:sz="0" w:space="0" w:color="auto"/>
        <w:bottom w:val="none" w:sz="0" w:space="0" w:color="auto"/>
        <w:right w:val="none" w:sz="0" w:space="0" w:color="auto"/>
      </w:divBdr>
    </w:div>
    <w:div w:id="661542959">
      <w:bodyDiv w:val="1"/>
      <w:marLeft w:val="0"/>
      <w:marRight w:val="0"/>
      <w:marTop w:val="0"/>
      <w:marBottom w:val="0"/>
      <w:divBdr>
        <w:top w:val="none" w:sz="0" w:space="0" w:color="auto"/>
        <w:left w:val="none" w:sz="0" w:space="0" w:color="auto"/>
        <w:bottom w:val="none" w:sz="0" w:space="0" w:color="auto"/>
        <w:right w:val="none" w:sz="0" w:space="0" w:color="auto"/>
      </w:divBdr>
    </w:div>
    <w:div w:id="988440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otsforschool.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ECeGBIYGuItqod7pBRZog8Fag==">CgMxLjA4AHIhMVFNb3RDenBhakxRMHNqamtORGt2RHJveUlTWXRCb19O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Coburn</dc:creator>
  <cp:lastModifiedBy>Lina Sanchez</cp:lastModifiedBy>
  <cp:revision>2</cp:revision>
  <dcterms:created xsi:type="dcterms:W3CDTF">2025-01-07T19:06:00Z</dcterms:created>
  <dcterms:modified xsi:type="dcterms:W3CDTF">2025-01-07T19:06:00Z</dcterms:modified>
</cp:coreProperties>
</file>